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pPr>
      <w:r w:rsidDel="00000000" w:rsidR="00000000" w:rsidRPr="00000000">
        <w:rPr>
          <w:rtl w:val="0"/>
        </w:rPr>
      </w:r>
    </w:p>
    <w:p w:rsidR="00000000" w:rsidDel="00000000" w:rsidP="00000000" w:rsidRDefault="00000000" w:rsidRPr="00000000" w14:paraId="00000002">
      <w:pPr>
        <w:ind w:hanging="2"/>
        <w:jc w:val="center"/>
        <w:rPr>
          <w:b w:val="1"/>
          <w:sz w:val="28"/>
          <w:szCs w:val="28"/>
        </w:rPr>
      </w:pPr>
      <w:r w:rsidDel="00000000" w:rsidR="00000000" w:rsidRPr="00000000">
        <w:rPr>
          <w:b w:val="1"/>
          <w:sz w:val="28"/>
          <w:szCs w:val="28"/>
          <w:rtl w:val="0"/>
        </w:rPr>
        <w:t xml:space="preserve">Consejo Escolar descrito en la ley</w:t>
      </w:r>
    </w:p>
    <w:p w:rsidR="00000000" w:rsidDel="00000000" w:rsidP="00000000" w:rsidRDefault="00000000" w:rsidRPr="00000000" w14:paraId="00000003">
      <w:pPr>
        <w:ind w:hanging="2"/>
        <w:jc w:val="center"/>
        <w:rPr>
          <w:b w:val="1"/>
          <w:sz w:val="28"/>
          <w:szCs w:val="28"/>
        </w:rPr>
      </w:pPr>
      <w:r w:rsidDel="00000000" w:rsidR="00000000" w:rsidRPr="00000000">
        <w:rPr>
          <w:rtl w:val="0"/>
        </w:rPr>
      </w:r>
    </w:p>
    <w:p w:rsidR="00000000" w:rsidDel="00000000" w:rsidP="00000000" w:rsidRDefault="00000000" w:rsidRPr="00000000" w14:paraId="00000004">
      <w:pPr>
        <w:ind w:hanging="2"/>
        <w:jc w:val="both"/>
        <w:rPr/>
      </w:pPr>
      <w:r w:rsidDel="00000000" w:rsidR="00000000" w:rsidRPr="00000000">
        <w:rPr>
          <w:rtl w:val="0"/>
        </w:rPr>
        <w:t xml:space="preserve">La estructura señalada en la ley se transformará en la base de constitución de todo Consejo Escolar y, dependiendo de su realidad, se deberá modificar de acuerdo con lo que se señala más adelante. Pese a la flexibilidad que se plantea, es relevante mencionar que todo establecimiento educativo, sin importar los niveles educativos o modalidades de enseñanza que se impartan, deben convocar a la totalidad de la comunidad educativa y, con ello, ceñirse a esta estructura base.</w:t>
      </w:r>
    </w:p>
    <w:p w:rsidR="00000000" w:rsidDel="00000000" w:rsidP="00000000" w:rsidRDefault="00000000" w:rsidRPr="00000000" w14:paraId="00000005">
      <w:pPr>
        <w:ind w:hanging="2"/>
        <w:jc w:val="both"/>
        <w:rPr/>
      </w:pPr>
      <w:r w:rsidDel="00000000" w:rsidR="00000000" w:rsidRPr="00000000">
        <w:rPr>
          <w:rtl w:val="0"/>
        </w:rPr>
        <w:t xml:space="preserve">En este sentido, las escuelas especiales, aquellas que impartan tercera jornada, así como los establecimientos educacionales pertenecientes a los Servicios Locales de Educación Pública deberán cumplir con la siguiente estructura básica:</w:t>
      </w:r>
    </w:p>
    <w:p w:rsidR="00000000" w:rsidDel="00000000" w:rsidP="00000000" w:rsidRDefault="00000000" w:rsidRPr="00000000" w14:paraId="00000006">
      <w:pPr>
        <w:ind w:hanging="2"/>
        <w:jc w:val="both"/>
        <w:rPr/>
      </w:pPr>
      <w:r w:rsidDel="00000000" w:rsidR="00000000" w:rsidRPr="00000000">
        <w:rPr>
          <w:rtl w:val="0"/>
        </w:rPr>
      </w:r>
    </w:p>
    <w:p w:rsidR="00000000" w:rsidDel="00000000" w:rsidP="00000000" w:rsidRDefault="00000000" w:rsidRPr="00000000" w14:paraId="00000007">
      <w:pPr>
        <w:ind w:hanging="2"/>
        <w:jc w:val="both"/>
        <w:rPr/>
      </w:pPr>
      <w:r w:rsidDel="00000000" w:rsidR="00000000" w:rsidRPr="00000000">
        <w:rPr>
          <w:rtl w:val="0"/>
        </w:rPr>
      </w:r>
    </w:p>
    <w:p w:rsidR="00000000" w:rsidDel="00000000" w:rsidP="00000000" w:rsidRDefault="00000000" w:rsidRPr="00000000" w14:paraId="00000008">
      <w:pPr>
        <w:ind w:hanging="2"/>
        <w:jc w:val="both"/>
        <w:rPr/>
      </w:pPr>
      <w:r w:rsidDel="00000000" w:rsidR="00000000" w:rsidRPr="00000000">
        <w:rPr>
          <w:rtl w:val="0"/>
        </w:rPr>
        <w:t xml:space="preserve">Integrantes del Consejo Escolar según modalidad y nivel de enseñanza</w:t>
      </w:r>
    </w:p>
    <w:p w:rsidR="00000000" w:rsidDel="00000000" w:rsidP="00000000" w:rsidRDefault="00000000" w:rsidRPr="00000000" w14:paraId="00000009">
      <w:pPr>
        <w:ind w:hanging="2"/>
        <w:jc w:val="both"/>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pPr>
      <w:r w:rsidDel="00000000" w:rsidR="00000000" w:rsidRPr="00000000">
        <w:rPr>
          <w:rtl w:val="0"/>
        </w:rPr>
        <w:t xml:space="preserve">Sostenedor/a o su representante</w:t>
      </w:r>
    </w:p>
    <w:p w:rsidR="00000000" w:rsidDel="00000000" w:rsidP="00000000" w:rsidRDefault="00000000" w:rsidRPr="00000000" w14:paraId="0000000B">
      <w:pPr>
        <w:numPr>
          <w:ilvl w:val="0"/>
          <w:numId w:val="1"/>
        </w:numPr>
        <w:ind w:left="720" w:hanging="360"/>
        <w:jc w:val="both"/>
        <w:rPr/>
      </w:pPr>
      <w:r w:rsidDel="00000000" w:rsidR="00000000" w:rsidRPr="00000000">
        <w:rPr>
          <w:rtl w:val="0"/>
        </w:rPr>
        <w:t xml:space="preserve">Dirección de establecimiento</w:t>
      </w:r>
    </w:p>
    <w:p w:rsidR="00000000" w:rsidDel="00000000" w:rsidP="00000000" w:rsidRDefault="00000000" w:rsidRPr="00000000" w14:paraId="0000000C">
      <w:pPr>
        <w:numPr>
          <w:ilvl w:val="0"/>
          <w:numId w:val="1"/>
        </w:numPr>
        <w:ind w:left="720" w:hanging="360"/>
        <w:jc w:val="both"/>
        <w:rPr/>
      </w:pPr>
      <w:r w:rsidDel="00000000" w:rsidR="00000000" w:rsidRPr="00000000">
        <w:rPr>
          <w:rtl w:val="0"/>
        </w:rPr>
        <w:t xml:space="preserve">Representante del profesorado</w:t>
      </w:r>
    </w:p>
    <w:p w:rsidR="00000000" w:rsidDel="00000000" w:rsidP="00000000" w:rsidRDefault="00000000" w:rsidRPr="00000000" w14:paraId="0000000D">
      <w:pPr>
        <w:numPr>
          <w:ilvl w:val="0"/>
          <w:numId w:val="1"/>
        </w:numPr>
        <w:ind w:left="720" w:hanging="360"/>
        <w:jc w:val="both"/>
        <w:rPr/>
      </w:pPr>
      <w:r w:rsidDel="00000000" w:rsidR="00000000" w:rsidRPr="00000000">
        <w:rPr>
          <w:rtl w:val="0"/>
        </w:rPr>
        <w:t xml:space="preserve">Representante de los y las asistentes de la educación</w:t>
      </w:r>
    </w:p>
    <w:p w:rsidR="00000000" w:rsidDel="00000000" w:rsidP="00000000" w:rsidRDefault="00000000" w:rsidRPr="00000000" w14:paraId="0000000E">
      <w:pPr>
        <w:numPr>
          <w:ilvl w:val="0"/>
          <w:numId w:val="1"/>
        </w:numPr>
        <w:ind w:left="720" w:hanging="360"/>
        <w:jc w:val="both"/>
        <w:rPr/>
      </w:pPr>
      <w:r w:rsidDel="00000000" w:rsidR="00000000" w:rsidRPr="00000000">
        <w:rPr>
          <w:rtl w:val="0"/>
        </w:rPr>
        <w:t xml:space="preserve">Presidente/a del Centro de Padres, Madres y Apoderados/s </w:t>
      </w:r>
    </w:p>
    <w:p w:rsidR="00000000" w:rsidDel="00000000" w:rsidP="00000000" w:rsidRDefault="00000000" w:rsidRPr="00000000" w14:paraId="0000000F">
      <w:pPr>
        <w:numPr>
          <w:ilvl w:val="0"/>
          <w:numId w:val="1"/>
        </w:numPr>
        <w:ind w:left="720" w:hanging="360"/>
        <w:jc w:val="both"/>
        <w:rPr/>
      </w:pPr>
      <w:r w:rsidDel="00000000" w:rsidR="00000000" w:rsidRPr="00000000">
        <w:rPr>
          <w:rtl w:val="0"/>
        </w:rPr>
        <w:t xml:space="preserve">Presidente/a del Centro de Estudiantes</w:t>
      </w:r>
    </w:p>
    <w:p w:rsidR="00000000" w:rsidDel="00000000" w:rsidP="00000000" w:rsidRDefault="00000000" w:rsidRPr="00000000" w14:paraId="00000010">
      <w:pPr>
        <w:ind w:hanging="2"/>
        <w:jc w:val="both"/>
        <w:rPr/>
      </w:pPr>
      <w:r w:rsidDel="00000000" w:rsidR="00000000" w:rsidRPr="00000000">
        <w:rPr>
          <w:rtl w:val="0"/>
        </w:rPr>
      </w:r>
    </w:p>
    <w:p w:rsidR="00000000" w:rsidDel="00000000" w:rsidP="00000000" w:rsidRDefault="00000000" w:rsidRPr="00000000" w14:paraId="00000011">
      <w:pPr>
        <w:ind w:hanging="2"/>
        <w:jc w:val="both"/>
        <w:rPr/>
      </w:pPr>
      <w:r w:rsidDel="00000000" w:rsidR="00000000" w:rsidRPr="00000000">
        <w:rPr>
          <w:b w:val="1"/>
          <w:rtl w:val="0"/>
        </w:rPr>
        <w:t xml:space="preserve">I. Sostenedor/a</w:t>
      </w:r>
      <w:r w:rsidDel="00000000" w:rsidR="00000000" w:rsidRPr="00000000">
        <w:rPr>
          <w:rtl w:val="0"/>
        </w:rPr>
        <w:t xml:space="preserve"> u otra persona designada por este mediante documento escrito: parte de su rol es escuchar propuestas de los diversos actores e informarlas a quien corresponda. Reunir las firmas de los asistentes en cada reunión, para registrar su participación y, además, definir si el Consejo será resolutivo.</w:t>
      </w:r>
    </w:p>
    <w:p w:rsidR="00000000" w:rsidDel="00000000" w:rsidP="00000000" w:rsidRDefault="00000000" w:rsidRPr="00000000" w14:paraId="00000012">
      <w:pPr>
        <w:ind w:hanging="2"/>
        <w:jc w:val="both"/>
        <w:rPr/>
      </w:pPr>
      <w:r w:rsidDel="00000000" w:rsidR="00000000" w:rsidRPr="00000000">
        <w:rPr>
          <w:rtl w:val="0"/>
        </w:rPr>
      </w:r>
    </w:p>
    <w:p w:rsidR="00000000" w:rsidDel="00000000" w:rsidP="00000000" w:rsidRDefault="00000000" w:rsidRPr="00000000" w14:paraId="00000013">
      <w:pPr>
        <w:ind w:hanging="2"/>
        <w:jc w:val="both"/>
        <w:rPr/>
      </w:pPr>
      <w:r w:rsidDel="00000000" w:rsidR="00000000" w:rsidRPr="00000000">
        <w:rPr>
          <w:rtl w:val="0"/>
        </w:rPr>
        <w:t xml:space="preserve">• Determinar anualmente si el Consejo Escolar tendrá un carácter resolutivo y para qué materias se entregará ese carácter.</w:t>
      </w:r>
    </w:p>
    <w:p w:rsidR="00000000" w:rsidDel="00000000" w:rsidP="00000000" w:rsidRDefault="00000000" w:rsidRPr="00000000" w14:paraId="00000014">
      <w:pPr>
        <w:ind w:hanging="2"/>
        <w:jc w:val="both"/>
        <w:rPr/>
      </w:pPr>
      <w:r w:rsidDel="00000000" w:rsidR="00000000" w:rsidRPr="00000000">
        <w:rPr>
          <w:rtl w:val="0"/>
        </w:rPr>
      </w:r>
    </w:p>
    <w:p w:rsidR="00000000" w:rsidDel="00000000" w:rsidP="00000000" w:rsidRDefault="00000000" w:rsidRPr="00000000" w14:paraId="00000015">
      <w:pPr>
        <w:ind w:hanging="2"/>
        <w:jc w:val="both"/>
        <w:rPr/>
      </w:pPr>
      <w:r w:rsidDel="00000000" w:rsidR="00000000" w:rsidRPr="00000000">
        <w:rPr>
          <w:rtl w:val="0"/>
        </w:rPr>
        <w:t xml:space="preserve">• En el caso de los establecimientos municipales, alcaldes y alcaldesas cumplen el rol de sostenedores, y deben informar sobre el PADEM (Plan Anual de Desarrollo Educativo Municipal) y la situación de educación municipal.</w:t>
      </w:r>
    </w:p>
    <w:p w:rsidR="00000000" w:rsidDel="00000000" w:rsidP="00000000" w:rsidRDefault="00000000" w:rsidRPr="00000000" w14:paraId="00000016">
      <w:pPr>
        <w:ind w:hanging="2"/>
        <w:jc w:val="both"/>
        <w:rPr/>
      </w:pPr>
      <w:r w:rsidDel="00000000" w:rsidR="00000000" w:rsidRPr="00000000">
        <w:rPr>
          <w:rtl w:val="0"/>
        </w:rPr>
      </w:r>
    </w:p>
    <w:p w:rsidR="00000000" w:rsidDel="00000000" w:rsidP="00000000" w:rsidRDefault="00000000" w:rsidRPr="00000000" w14:paraId="00000017">
      <w:pPr>
        <w:ind w:hanging="2"/>
        <w:jc w:val="both"/>
        <w:rPr/>
      </w:pPr>
      <w:r w:rsidDel="00000000" w:rsidR="00000000" w:rsidRPr="00000000">
        <w:rPr>
          <w:rtl w:val="0"/>
        </w:rPr>
        <w:t xml:space="preserve">• En los establecimientos particulares subvencionados, los sostenedores son privados y su rol es dar a conocer estrategias y planes de desarrollo al Consejo Escolar.</w:t>
      </w:r>
    </w:p>
    <w:p w:rsidR="00000000" w:rsidDel="00000000" w:rsidP="00000000" w:rsidRDefault="00000000" w:rsidRPr="00000000" w14:paraId="00000018">
      <w:pPr>
        <w:ind w:hanging="2"/>
        <w:jc w:val="both"/>
        <w:rPr/>
      </w:pPr>
      <w:r w:rsidDel="00000000" w:rsidR="00000000" w:rsidRPr="00000000">
        <w:rPr>
          <w:rtl w:val="0"/>
        </w:rPr>
      </w:r>
    </w:p>
    <w:p w:rsidR="00000000" w:rsidDel="00000000" w:rsidP="00000000" w:rsidRDefault="00000000" w:rsidRPr="00000000" w14:paraId="00000019">
      <w:pPr>
        <w:ind w:hanging="2"/>
        <w:jc w:val="both"/>
        <w:rPr/>
      </w:pPr>
      <w:r w:rsidDel="00000000" w:rsidR="00000000" w:rsidRPr="00000000">
        <w:rPr>
          <w:b w:val="1"/>
          <w:rtl w:val="0"/>
        </w:rPr>
        <w:t xml:space="preserve">II. Director/a:</w:t>
      </w:r>
      <w:r w:rsidDel="00000000" w:rsidR="00000000" w:rsidRPr="00000000">
        <w:rPr>
          <w:rtl w:val="0"/>
        </w:rPr>
        <w:t xml:space="preserve"> preside las reuniones del Consejo Escolar, construye la agenda educativa para el año escolar y representa al equipo directivo.</w:t>
      </w:r>
    </w:p>
    <w:p w:rsidR="00000000" w:rsidDel="00000000" w:rsidP="00000000" w:rsidRDefault="00000000" w:rsidRPr="00000000" w14:paraId="0000001A">
      <w:pPr>
        <w:ind w:hanging="2"/>
        <w:jc w:val="both"/>
        <w:rPr/>
      </w:pPr>
      <w:r w:rsidDel="00000000" w:rsidR="00000000" w:rsidRPr="00000000">
        <w:rPr>
          <w:rtl w:val="0"/>
        </w:rPr>
      </w:r>
    </w:p>
    <w:p w:rsidR="00000000" w:rsidDel="00000000" w:rsidP="00000000" w:rsidRDefault="00000000" w:rsidRPr="00000000" w14:paraId="0000001B">
      <w:pPr>
        <w:ind w:hanging="2"/>
        <w:jc w:val="both"/>
        <w:rPr/>
      </w:pPr>
      <w:r w:rsidDel="00000000" w:rsidR="00000000" w:rsidRPr="00000000">
        <w:rPr>
          <w:b w:val="1"/>
          <w:rtl w:val="0"/>
        </w:rPr>
        <w:t xml:space="preserve">III. Un/a docente</w:t>
      </w:r>
      <w:r w:rsidDel="00000000" w:rsidR="00000000" w:rsidRPr="00000000">
        <w:rPr>
          <w:rtl w:val="0"/>
        </w:rPr>
        <w:t xml:space="preserve"> debe integrar el Consejo Escolar: elegido/a democráticamente por sus pares, presenta temas y propuestas del profesorado ante el Consejo.</w:t>
      </w:r>
    </w:p>
    <w:p w:rsidR="00000000" w:rsidDel="00000000" w:rsidP="00000000" w:rsidRDefault="00000000" w:rsidRPr="00000000" w14:paraId="0000001C">
      <w:pPr>
        <w:ind w:hanging="2"/>
        <w:jc w:val="both"/>
        <w:rPr/>
      </w:pPr>
      <w:r w:rsidDel="00000000" w:rsidR="00000000" w:rsidRPr="00000000">
        <w:rPr>
          <w:b w:val="1"/>
          <w:rtl w:val="0"/>
        </w:rPr>
        <w:t xml:space="preserve">IV. Asistente de la educación: </w:t>
      </w:r>
      <w:r w:rsidDel="00000000" w:rsidR="00000000" w:rsidRPr="00000000">
        <w:rPr>
          <w:rtl w:val="0"/>
        </w:rPr>
        <w:t xml:space="preserve">elegido por sus pares, mediante procedimiento previamente establecido, presenta temas y propuestas provenientes de su estamento ante el Consejo Escolar.</w:t>
      </w:r>
    </w:p>
    <w:p w:rsidR="00000000" w:rsidDel="00000000" w:rsidP="00000000" w:rsidRDefault="00000000" w:rsidRPr="00000000" w14:paraId="0000001D">
      <w:pPr>
        <w:ind w:hanging="2"/>
        <w:jc w:val="both"/>
        <w:rPr/>
      </w:pPr>
      <w:r w:rsidDel="00000000" w:rsidR="00000000" w:rsidRPr="00000000">
        <w:rPr>
          <w:rtl w:val="0"/>
        </w:rPr>
      </w:r>
    </w:p>
    <w:p w:rsidR="00000000" w:rsidDel="00000000" w:rsidP="00000000" w:rsidRDefault="00000000" w:rsidRPr="00000000" w14:paraId="0000001E">
      <w:pPr>
        <w:ind w:hanging="2"/>
        <w:jc w:val="both"/>
        <w:rPr/>
      </w:pPr>
      <w:r w:rsidDel="00000000" w:rsidR="00000000" w:rsidRPr="00000000">
        <w:rPr>
          <w:b w:val="1"/>
          <w:rtl w:val="0"/>
        </w:rPr>
        <w:t xml:space="preserve">V. Presidente/a del Centro de Padres, Madres y Apoderados/as:</w:t>
      </w:r>
      <w:r w:rsidDel="00000000" w:rsidR="00000000" w:rsidRPr="00000000">
        <w:rPr>
          <w:rtl w:val="0"/>
        </w:rPr>
        <w:t xml:space="preserve"> presenta inquietudes y/o propuestas de su estamento al Consejo.</w:t>
      </w:r>
    </w:p>
    <w:p w:rsidR="00000000" w:rsidDel="00000000" w:rsidP="00000000" w:rsidRDefault="00000000" w:rsidRPr="00000000" w14:paraId="0000001F">
      <w:pPr>
        <w:ind w:hanging="2"/>
        <w:jc w:val="both"/>
        <w:rPr/>
      </w:pPr>
      <w:r w:rsidDel="00000000" w:rsidR="00000000" w:rsidRPr="00000000">
        <w:rPr>
          <w:rtl w:val="0"/>
        </w:rPr>
      </w:r>
    </w:p>
    <w:p w:rsidR="00000000" w:rsidDel="00000000" w:rsidP="00000000" w:rsidRDefault="00000000" w:rsidRPr="00000000" w14:paraId="00000020">
      <w:pPr>
        <w:ind w:hanging="2"/>
        <w:jc w:val="both"/>
        <w:rPr/>
      </w:pPr>
      <w:r w:rsidDel="00000000" w:rsidR="00000000" w:rsidRPr="00000000">
        <w:rPr>
          <w:b w:val="1"/>
          <w:rtl w:val="0"/>
        </w:rPr>
        <w:t xml:space="preserve">VI. Presidente/a del Centro de Estudiantes:</w:t>
      </w:r>
      <w:r w:rsidDel="00000000" w:rsidR="00000000" w:rsidRPr="00000000">
        <w:rPr>
          <w:rtl w:val="0"/>
        </w:rPr>
        <w:t xml:space="preserve"> representa a sus pares, entregando la visión general que tienen ante los diferentes temas abordados. En caso de que el Centro de Estudiantes no esté constituido, será relevante contar con la participación de una persona delegada por el estudiantado.</w:t>
      </w:r>
    </w:p>
    <w:p w:rsidR="00000000" w:rsidDel="00000000" w:rsidP="00000000" w:rsidRDefault="00000000" w:rsidRPr="00000000" w14:paraId="00000021">
      <w:pPr>
        <w:ind w:hanging="2"/>
        <w:jc w:val="both"/>
        <w:rPr/>
      </w:pPr>
      <w:r w:rsidDel="00000000" w:rsidR="00000000" w:rsidRPr="00000000">
        <w:rPr>
          <w:rtl w:val="0"/>
        </w:rPr>
        <w:t xml:space="preserve">Cualquier cambio de integrantes del Consejo Escolar deberá ser informado a la Superintendencia de Educación y al Departamento Provincial de educación respectivo para la actualización del acta de constitución, así como el SLEP respectivo, si corresponde.</w:t>
      </w:r>
    </w:p>
    <w:p w:rsidR="00000000" w:rsidDel="00000000" w:rsidP="00000000" w:rsidRDefault="00000000" w:rsidRPr="00000000" w14:paraId="00000022">
      <w:pPr>
        <w:ind w:left="0" w:hanging="2"/>
        <w:jc w:val="center"/>
        <w:rPr>
          <w:b w:val="1"/>
          <w:sz w:val="28"/>
          <w:szCs w:val="28"/>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-1095369</wp:posOffset>
          </wp:positionH>
          <wp:positionV relativeFrom="paragraph">
            <wp:posOffset>352425</wp:posOffset>
          </wp:positionV>
          <wp:extent cx="7900035" cy="285115"/>
          <wp:effectExtent b="0" l="0" r="0" t="0"/>
          <wp:wrapSquare wrapText="bothSides" distB="0" distT="0" distL="0" distR="0"/>
          <wp:docPr id="2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900035" cy="2851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4781550</wp:posOffset>
          </wp:positionH>
          <wp:positionV relativeFrom="paragraph">
            <wp:posOffset>-159030</wp:posOffset>
          </wp:positionV>
          <wp:extent cx="1105852" cy="616238"/>
          <wp:effectExtent b="0" l="0" r="0" t="0"/>
          <wp:wrapNone/>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5852" cy="61623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-252403</wp:posOffset>
          </wp:positionV>
          <wp:extent cx="1524952" cy="701633"/>
          <wp:effectExtent b="0" l="0" r="0" t="0"/>
          <wp:wrapNone/>
          <wp:docPr id="2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24952" cy="70163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-1095369</wp:posOffset>
          </wp:positionH>
          <wp:positionV relativeFrom="paragraph">
            <wp:posOffset>-447668</wp:posOffset>
          </wp:positionV>
          <wp:extent cx="7900035" cy="285115"/>
          <wp:effectExtent b="0" l="0" r="0" t="0"/>
          <wp:wrapSquare wrapText="bothSides" distB="0" distT="0" distL="0" distR="0"/>
          <wp:docPr id="27"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7900035" cy="285115"/>
                  </a:xfrm>
                  <a:prstGeom prst="rect"/>
                  <a:ln/>
                </pic:spPr>
              </pic:pic>
            </a:graphicData>
          </a:graphic>
        </wp:anchor>
      </w:drawing>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pPr>
      <w:keepNext w:val="1"/>
      <w:keepLines w:val="1"/>
      <w:spacing w:after="120" w:before="48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qFormat w:val="1"/>
    <w:pPr>
      <w:tabs>
        <w:tab w:val="center" w:pos="4419"/>
        <w:tab w:val="right" w:pos="8838"/>
      </w:tabs>
    </w:pPr>
  </w:style>
  <w:style w:type="character" w:styleId="EncabezadoCar" w:customStyle="1">
    <w:name w:val="Encabezado Car"/>
    <w:basedOn w:val="Fuentedeprrafopredeter"/>
    <w:rPr>
      <w:w w:val="100"/>
      <w:position w:val="-1"/>
      <w:effect w:val="none"/>
      <w:vertAlign w:val="baseline"/>
      <w:cs w:val="0"/>
      <w:em w:val="none"/>
    </w:rPr>
  </w:style>
  <w:style w:type="paragraph" w:styleId="Piedepgina">
    <w:name w:val="footer"/>
    <w:basedOn w:val="Normal"/>
    <w:qFormat w:val="1"/>
    <w:pPr>
      <w:tabs>
        <w:tab w:val="center" w:pos="4419"/>
        <w:tab w:val="right" w:pos="8838"/>
      </w:tabs>
    </w:pPr>
  </w:style>
  <w:style w:type="character" w:styleId="PiedepginaCar" w:customStyle="1">
    <w:name w:val="Pie de página Car"/>
    <w:basedOn w:val="Fuentedeprrafopredeter"/>
    <w:rPr>
      <w:w w:val="100"/>
      <w:position w:val="-1"/>
      <w:effect w:val="none"/>
      <w:vertAlign w:val="baseline"/>
      <w:cs w:val="0"/>
      <w:em w:val="none"/>
    </w:rPr>
  </w:style>
  <w:style w:type="paragraph" w:styleId="Prrafodelista">
    <w:name w:val="List Paragraph"/>
    <w:basedOn w:val="Normal"/>
    <w:pPr>
      <w:spacing w:after="160" w:line="259" w:lineRule="auto"/>
      <w:ind w:left="720"/>
      <w:contextualSpacing w:val="1"/>
    </w:pPr>
    <w:rPr>
      <w:rFonts w:cs="Times New Roman"/>
      <w:sz w:val="22"/>
      <w:szCs w:val="22"/>
      <w:lang w:val="es-CL"/>
    </w:rPr>
  </w:style>
  <w:style w:type="character" w:styleId="Hipervnculo">
    <w:name w:val="Hyperlink"/>
    <w:qFormat w:val="1"/>
    <w:rPr>
      <w:color w:val="0563c1"/>
      <w:w w:val="100"/>
      <w:position w:val="-1"/>
      <w:u w:val="single"/>
      <w:effect w:val="none"/>
      <w:vertAlign w:val="baseline"/>
      <w:cs w:val="0"/>
      <w:em w:val="none"/>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pPr>
      <w:spacing w:after="160"/>
    </w:pPr>
    <w:rPr>
      <w:rFonts w:cs="Times New Roman"/>
      <w:sz w:val="20"/>
      <w:szCs w:val="20"/>
      <w:lang w:val="es-CL"/>
    </w:rPr>
  </w:style>
  <w:style w:type="character" w:styleId="TextocomentarioCar" w:customStyle="1">
    <w:name w:val="Texto comentario Car"/>
    <w:rPr>
      <w:w w:val="100"/>
      <w:position w:val="-1"/>
      <w:effect w:val="none"/>
      <w:vertAlign w:val="baseline"/>
      <w:cs w:val="0"/>
      <w:em w:val="none"/>
      <w:lang w:eastAsia="en-US"/>
    </w:rPr>
  </w:style>
  <w:style w:type="paragraph" w:styleId="Textodeglobo">
    <w:name w:val="Balloon Text"/>
    <w:basedOn w:val="Normal"/>
    <w:qFormat w:val="1"/>
    <w:rPr>
      <w:rFonts w:ascii="Segoe UI" w:cs="Segoe UI" w:hAnsi="Segoe UI"/>
      <w:sz w:val="18"/>
      <w:szCs w:val="18"/>
    </w:rPr>
  </w:style>
  <w:style w:type="character" w:styleId="TextodegloboCar" w:customStyle="1">
    <w:name w:val="Texto de globo Car"/>
    <w:rPr>
      <w:rFonts w:ascii="Segoe UI" w:cs="Segoe UI" w:hAnsi="Segoe UI"/>
      <w:w w:val="100"/>
      <w:position w:val="-1"/>
      <w:sz w:val="18"/>
      <w:szCs w:val="18"/>
      <w:effect w:val="none"/>
      <w:vertAlign w:val="baseline"/>
      <w:cs w:val="0"/>
      <w:em w:val="none"/>
      <w:lang w:eastAsia="en-US" w:val="es-ES"/>
    </w:rPr>
  </w:style>
  <w:style w:type="paragraph" w:styleId="Asuntodelcomentario">
    <w:name w:val="annotation subject"/>
    <w:basedOn w:val="Textocomentario"/>
    <w:next w:val="Textocomentario"/>
    <w:qFormat w:val="1"/>
    <w:pPr>
      <w:spacing w:after="0"/>
    </w:pPr>
    <w:rPr>
      <w:b w:val="1"/>
      <w:bCs w:val="1"/>
      <w:lang w:val="es-ES"/>
    </w:rPr>
  </w:style>
  <w:style w:type="character" w:styleId="AsuntodelcomentarioCar" w:customStyle="1">
    <w:name w:val="Asunto del comentario Car"/>
    <w:rPr>
      <w:b w:val="1"/>
      <w:bCs w:val="1"/>
      <w:w w:val="100"/>
      <w:position w:val="-1"/>
      <w:effect w:val="none"/>
      <w:vertAlign w:val="baseline"/>
      <w:cs w:val="0"/>
      <w:em w:val="none"/>
      <w:lang w:eastAsia="en-US" w:val="es-ES"/>
    </w:rPr>
  </w:style>
  <w:style w:type="character" w:styleId="Refdenotaalpie">
    <w:name w:val="footnote reference"/>
    <w:rPr>
      <w:w w:val="100"/>
      <w:position w:val="-1"/>
      <w:effect w:val="none"/>
      <w:vertAlign w:val="superscript"/>
      <w:cs w:val="0"/>
      <w:em w:val="none"/>
    </w:rPr>
  </w:style>
  <w:style w:type="paragraph" w:styleId="Textonotapie">
    <w:name w:val="footnote text"/>
    <w:basedOn w:val="Normal"/>
    <w:rPr>
      <w:rFonts w:ascii="Times New Roman" w:eastAsia="Times New Roman" w:hAnsi="Times New Roman"/>
      <w:sz w:val="20"/>
      <w:szCs w:val="20"/>
      <w:lang w:eastAsia="es-ES"/>
    </w:rPr>
  </w:style>
  <w:style w:type="character" w:styleId="TextonotapieCar" w:customStyle="1">
    <w:name w:val="Texto nota pie Car"/>
    <w:rPr>
      <w:rFonts w:ascii="Times New Roman" w:eastAsia="Times New Roman" w:hAnsi="Times New Roman"/>
      <w:w w:val="100"/>
      <w:position w:val="-1"/>
      <w:effect w:val="none"/>
      <w:vertAlign w:val="baseline"/>
      <w:cs w:val="0"/>
      <w:em w:val="none"/>
      <w:lang w:eastAsia="es-ES" w:val="es-ES"/>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rFonts w:cs="Times New Roman"/>
      <w:position w:val="-1"/>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Body Text"/>
    <w:basedOn w:val="Normal"/>
    <w:pPr>
      <w:keepNext w:val="1"/>
      <w:spacing w:line="360" w:lineRule="auto"/>
      <w:jc w:val="both"/>
      <w:outlineLvl w:val="1"/>
    </w:pPr>
    <w:rPr>
      <w:rFonts w:ascii="Tahoma" w:cs="Tahoma" w:eastAsia="Times New Roman" w:hAnsi="Tahoma"/>
      <w:lang w:eastAsia="es-ES"/>
    </w:rPr>
  </w:style>
  <w:style w:type="character" w:styleId="TextoindependienteCar" w:customStyle="1">
    <w:name w:val="Texto independiente Car"/>
    <w:rPr>
      <w:rFonts w:ascii="Tahoma" w:cs="Tahoma" w:eastAsia="Times New Roman" w:hAnsi="Tahoma"/>
      <w:w w:val="100"/>
      <w:position w:val="-1"/>
      <w:sz w:val="24"/>
      <w:szCs w:val="24"/>
      <w:effect w:val="none"/>
      <w:vertAlign w:val="baseline"/>
      <w:cs w:val="0"/>
      <w:em w:val="none"/>
      <w:lang w:eastAsia="es-ES" w:val="es-E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0.0" w:type="dxa"/>
        <w:left w:w="70.0" w:type="dxa"/>
        <w:bottom w:w="0.0" w:type="dxa"/>
        <w:right w:w="70.0" w:type="dxa"/>
      </w:tblCellMar>
    </w:tblPr>
  </w:style>
  <w:style w:type="table" w:styleId="a0" w:customStyle="1">
    <w:basedOn w:val="TableNormal1"/>
    <w:tblPr>
      <w:tblStyleRowBandSize w:val="1"/>
      <w:tblStyleColBandSize w:val="1"/>
      <w:tblCellMar>
        <w:top w:w="0.0" w:type="dxa"/>
        <w:left w:w="70.0" w:type="dxa"/>
        <w:bottom w:w="0.0" w:type="dxa"/>
        <w:right w:w="70.0" w:type="dxa"/>
      </w:tblCellMar>
    </w:tblPr>
  </w:style>
  <w:style w:type="table" w:styleId="a1" w:customStyle="1">
    <w:basedOn w:val="TableNormal1"/>
    <w:tblPr>
      <w:tblStyleRowBandSize w:val="1"/>
      <w:tblStyleColBandSize w:val="1"/>
      <w:tblCellMar>
        <w:top w:w="0.0" w:type="dxa"/>
        <w:left w:w="108.0" w:type="dxa"/>
        <w:bottom w:w="0.0" w:type="dxa"/>
        <w:right w:w="108.0" w:type="dxa"/>
      </w:tblCellMar>
    </w:tblPr>
  </w:style>
  <w:style w:type="table" w:styleId="a2" w:customStyle="1">
    <w:basedOn w:val="TableNormal1"/>
    <w:tblPr>
      <w:tblStyleRowBandSize w:val="1"/>
      <w:tblStyleColBandSize w:val="1"/>
      <w:tblCellMar>
        <w:top w:w="0.0" w:type="dxa"/>
        <w:left w:w="108.0" w:type="dxa"/>
        <w:bottom w:w="0.0" w:type="dxa"/>
        <w:right w:w="108.0" w:type="dxa"/>
      </w:tblCellMar>
    </w:tblPr>
  </w:style>
  <w:style w:type="table" w:styleId="a3" w:customStyle="1">
    <w:basedOn w:val="TableNormal1"/>
    <w:tblPr>
      <w:tblStyleRowBandSize w:val="1"/>
      <w:tblStyleColBandSize w:val="1"/>
      <w:tblCellMar>
        <w:top w:w="0.0" w:type="dxa"/>
        <w:left w:w="108.0" w:type="dxa"/>
        <w:bottom w:w="0.0" w:type="dxa"/>
        <w:right w:w="108.0" w:type="dxa"/>
      </w:tblCellMar>
    </w:tblPr>
  </w:style>
  <w:style w:type="table" w:styleId="a4" w:customStyle="1">
    <w:basedOn w:val="TableNormal1"/>
    <w:tblPr>
      <w:tblStyleRowBandSize w:val="1"/>
      <w:tblStyleColBandSize w:val="1"/>
      <w:tblCellMar>
        <w:top w:w="0.0" w:type="dxa"/>
        <w:left w:w="108.0" w:type="dxa"/>
        <w:bottom w:w="0.0" w:type="dxa"/>
        <w:right w:w="108.0" w:type="dxa"/>
      </w:tblCellMar>
    </w:tblPr>
  </w:style>
  <w:style w:type="table" w:styleId="a5" w:customStyle="1">
    <w:basedOn w:val="TableNormal1"/>
    <w:tblPr>
      <w:tblStyleRowBandSize w:val="1"/>
      <w:tblStyleColBandSize w:val="1"/>
      <w:tblCellMar>
        <w:top w:w="0.0" w:type="dxa"/>
        <w:left w:w="108.0" w:type="dxa"/>
        <w:bottom w:w="0.0" w:type="dxa"/>
        <w:right w:w="108.0" w:type="dxa"/>
      </w:tblCellMar>
    </w:tblPr>
  </w:style>
  <w:style w:type="table" w:styleId="a6" w:customStyle="1">
    <w:basedOn w:val="TableNormal1"/>
    <w:tblPr>
      <w:tblStyleRowBandSize w:val="1"/>
      <w:tblStyleColBandSize w:val="1"/>
      <w:tblCellMar>
        <w:top w:w="0.0" w:type="dxa"/>
        <w:left w:w="108.0" w:type="dxa"/>
        <w:bottom w:w="0.0" w:type="dxa"/>
        <w:right w:w="108.0" w:type="dxa"/>
      </w:tblCellMar>
    </w:tblPr>
  </w:style>
  <w:style w:type="table" w:styleId="a7" w:customStyle="1">
    <w:basedOn w:val="TableNormal1"/>
    <w:tblPr>
      <w:tblStyleRowBandSize w:val="1"/>
      <w:tblStyleColBandSize w:val="1"/>
      <w:tblCellMar>
        <w:top w:w="0.0" w:type="dxa"/>
        <w:left w:w="108.0" w:type="dxa"/>
        <w:bottom w:w="0.0" w:type="dxa"/>
        <w:right w:w="108.0" w:type="dxa"/>
      </w:tblCellMar>
    </w:tblPr>
  </w:style>
  <w:style w:type="table" w:styleId="a8" w:customStyle="1">
    <w:basedOn w:val="TableNormal1"/>
    <w:tblPr>
      <w:tblStyleRowBandSize w:val="1"/>
      <w:tblStyleColBandSize w:val="1"/>
      <w:tblCellMar>
        <w:top w:w="0.0" w:type="dxa"/>
        <w:left w:w="108.0" w:type="dxa"/>
        <w:bottom w:w="0.0" w:type="dxa"/>
        <w:right w:w="108.0" w:type="dxa"/>
      </w:tblCellMar>
    </w:tblPr>
  </w:style>
  <w:style w:type="table" w:styleId="a9" w:customStyle="1">
    <w:basedOn w:val="TableNormal1"/>
    <w:tblPr>
      <w:tblStyleRowBandSize w:val="1"/>
      <w:tblStyleColBandSize w:val="1"/>
      <w:tblCellMar>
        <w:top w:w="0.0" w:type="dxa"/>
        <w:left w:w="108.0" w:type="dxa"/>
        <w:bottom w:w="0.0" w:type="dxa"/>
        <w:right w:w="108.0" w:type="dxa"/>
      </w:tblCellMar>
    </w:tblPr>
  </w:style>
  <w:style w:type="table" w:styleId="aa" w:customStyle="1">
    <w:basedOn w:val="TableNormal1"/>
    <w:tblPr>
      <w:tblStyleRowBandSize w:val="1"/>
      <w:tblStyleColBandSize w:val="1"/>
      <w:tblCellMar>
        <w:top w:w="0.0" w:type="dxa"/>
        <w:left w:w="108.0" w:type="dxa"/>
        <w:bottom w:w="0.0" w:type="dxa"/>
        <w:right w:w="108.0" w:type="dxa"/>
      </w:tblCellMar>
    </w:tblPr>
  </w:style>
  <w:style w:type="table" w:styleId="ab" w:customStyle="1">
    <w:basedOn w:val="TableNormal1"/>
    <w:tblPr>
      <w:tblStyleRowBandSize w:val="1"/>
      <w:tblStyleColBandSize w:val="1"/>
      <w:tblCellMar>
        <w:top w:w="0.0" w:type="dxa"/>
        <w:left w:w="108.0" w:type="dxa"/>
        <w:bottom w:w="0.0" w:type="dxa"/>
        <w:right w:w="108.0" w:type="dxa"/>
      </w:tblCellMar>
    </w:tblPr>
  </w:style>
  <w:style w:type="table" w:styleId="ac" w:customStyle="1">
    <w:basedOn w:val="TableNormal1"/>
    <w:tblPr>
      <w:tblStyleRowBandSize w:val="1"/>
      <w:tblStyleColBandSize w:val="1"/>
      <w:tblCellMar>
        <w:top w:w="0.0" w:type="dxa"/>
        <w:left w:w="108.0" w:type="dxa"/>
        <w:bottom w:w="0.0" w:type="dxa"/>
        <w:right w:w="108.0" w:type="dxa"/>
      </w:tblCellMar>
    </w:tblPr>
  </w:style>
  <w:style w:type="table" w:styleId="ad" w:customStyle="1">
    <w:basedOn w:val="TableNormal1"/>
    <w:tblPr>
      <w:tblStyleRowBandSize w:val="1"/>
      <w:tblStyleColBandSize w:val="1"/>
      <w:tblCellMar>
        <w:top w:w="0.0" w:type="dxa"/>
        <w:left w:w="108.0" w:type="dxa"/>
        <w:bottom w:w="0.0" w:type="dxa"/>
        <w:right w:w="108.0" w:type="dxa"/>
      </w:tblCellMar>
    </w:tblPr>
  </w:style>
  <w:style w:type="table" w:styleId="ae" w:customStyle="1">
    <w:basedOn w:val="TableNormal1"/>
    <w:tblPr>
      <w:tblStyleRowBandSize w:val="1"/>
      <w:tblStyleColBandSize w:val="1"/>
      <w:tblCellMar>
        <w:top w:w="0.0" w:type="dxa"/>
        <w:left w:w="108.0" w:type="dxa"/>
        <w:bottom w:w="0.0" w:type="dxa"/>
        <w:right w:w="108.0" w:type="dxa"/>
      </w:tblCellMar>
    </w:tblPr>
  </w:style>
  <w:style w:type="table" w:styleId="af" w:customStyle="1">
    <w:basedOn w:val="TableNormal1"/>
    <w:tblPr>
      <w:tblStyleRowBandSize w:val="1"/>
      <w:tblStyleColBandSize w:val="1"/>
      <w:tblCellMar>
        <w:top w:w="0.0" w:type="dxa"/>
        <w:left w:w="108.0" w:type="dxa"/>
        <w:bottom w:w="0.0" w:type="dxa"/>
        <w:right w:w="108.0" w:type="dxa"/>
      </w:tblCellMar>
    </w:tblPr>
  </w:style>
  <w:style w:type="table" w:styleId="af0" w:customStyle="1">
    <w:basedOn w:val="TableNormal1"/>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jXT5RpHAi2K9srn58L25qEHpw==">CgMxLjA4AHIhMWpJRGZqUm90WGtCMzlES2hVY0pOb3JmWUIwM0stY2Ni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4B8CECE5F0A53A4B9046F74815666C26" ma:contentTypeVersion="10" ma:contentTypeDescription="Crear nuevo documento." ma:contentTypeScope="" ma:versionID="7a93c8866c420e57b4b72a25fcd68756">
  <xsd:schema xmlns:xsd="http://www.w3.org/2001/XMLSchema" xmlns:xs="http://www.w3.org/2001/XMLSchema" xmlns:p="http://schemas.microsoft.com/office/2006/metadata/properties" xmlns:ns2="a7ef1bb8-3423-49d8-9776-cb7767683aac" xmlns:ns3="c2a25986-0e14-4264-b47e-e0c4dc7525f1" targetNamespace="http://schemas.microsoft.com/office/2006/metadata/properties" ma:root="true" ma:fieldsID="239ceffd0ae03e0f0bdcd08b5fdb8fd0" ns2:_="" ns3:_="">
    <xsd:import namespace="a7ef1bb8-3423-49d8-9776-cb7767683aac"/>
    <xsd:import namespace="c2a25986-0e14-4264-b47e-e0c4dc752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f1bb8-3423-49d8-9776-cb7767683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681b90e-46f2-42aa-a312-9dd76af4b9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25986-0e14-4264-b47e-e0c4dc752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31eff-609b-4ac0-bf2f-1ad0ebcdee2e}" ma:internalName="TaxCatchAll" ma:showField="CatchAllData" ma:web="c2a25986-0e14-4264-b47e-e0c4dc752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a25986-0e14-4264-b47e-e0c4dc7525f1" xsi:nil="true"/>
    <lcf76f155ced4ddcb4097134ff3c332f xmlns="a7ef1bb8-3423-49d8-9776-cb7767683a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C5DE2E4-2734-4FFF-B252-4F1C74D3743D}"/>
</file>

<file path=customXML/itemProps3.xml><?xml version="1.0" encoding="utf-8"?>
<ds:datastoreItem xmlns:ds="http://schemas.openxmlformats.org/officeDocument/2006/customXml" ds:itemID="{B9BB9DBD-1712-486B-9D6F-835FDDB37881}"/>
</file>

<file path=customXML/itemProps4.xml><?xml version="1.0" encoding="utf-8"?>
<ds:datastoreItem xmlns:ds="http://schemas.openxmlformats.org/officeDocument/2006/customXml" ds:itemID="{BA62FE64-2B6A-4661-8453-B869C656007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terms:created xsi:type="dcterms:W3CDTF">2020-03-10T18:20:00Z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0x0101004B8CECE5F0A53A4B9046F74815666C26</vt:lpwstr>
  </property>
</Properties>
</file>